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608DF" w14:textId="4637D6C2" w:rsidR="00261B2A" w:rsidRPr="00A20DB9" w:rsidRDefault="00261B2A" w:rsidP="00261B2A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4"/>
          <w:szCs w:val="24"/>
        </w:rPr>
      </w:pPr>
      <w:r w:rsidRPr="00A20DB9">
        <w:rPr>
          <w:rFonts w:ascii="Georgia" w:hAnsi="Georgia"/>
          <w:b/>
          <w:bCs/>
          <w:sz w:val="24"/>
          <w:szCs w:val="24"/>
        </w:rPr>
        <w:t>Príloha č.</w:t>
      </w:r>
      <w:r w:rsidR="00BA0E34">
        <w:rPr>
          <w:rFonts w:ascii="Georgia" w:hAnsi="Georgia"/>
          <w:b/>
          <w:bCs/>
          <w:sz w:val="24"/>
          <w:szCs w:val="24"/>
        </w:rPr>
        <w:t>9</w:t>
      </w:r>
    </w:p>
    <w:p w14:paraId="062F06F1" w14:textId="65E0ED94" w:rsidR="00261B2A" w:rsidRDefault="00261B2A" w:rsidP="00261B2A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A20DB9">
        <w:rPr>
          <w:rFonts w:ascii="Georgia" w:hAnsi="Georgia"/>
          <w:b/>
          <w:bCs/>
          <w:sz w:val="21"/>
          <w:szCs w:val="21"/>
        </w:rPr>
        <w:t>Plán skúšok</w:t>
      </w:r>
    </w:p>
    <w:p w14:paraId="01072E3F" w14:textId="77777777" w:rsidR="00261B2A" w:rsidRPr="00A20DB9" w:rsidRDefault="00261B2A" w:rsidP="00261B2A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</w:p>
    <w:p w14:paraId="5529FA4E" w14:textId="77777777" w:rsidR="00261B2A" w:rsidRPr="008B3CD8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8B3CD8">
        <w:rPr>
          <w:rFonts w:ascii="Georgia" w:hAnsi="Georgia"/>
          <w:b/>
          <w:bCs/>
          <w:sz w:val="21"/>
          <w:szCs w:val="21"/>
          <w:u w:val="single"/>
        </w:rPr>
        <w:t>Všeobecne</w:t>
      </w:r>
    </w:p>
    <w:p w14:paraId="4674695D" w14:textId="77777777" w:rsidR="00261B2A" w:rsidRPr="00A20DB9" w:rsidRDefault="00261B2A" w:rsidP="00261B2A">
      <w:pPr>
        <w:widowControl w:val="0"/>
        <w:spacing w:after="120"/>
        <w:ind w:left="567"/>
        <w:jc w:val="both"/>
        <w:rPr>
          <w:rFonts w:ascii="Georgia" w:hAnsi="Georgia"/>
          <w:sz w:val="21"/>
          <w:szCs w:val="21"/>
        </w:rPr>
      </w:pPr>
      <w:r w:rsidRPr="00A20DB9">
        <w:rPr>
          <w:rFonts w:ascii="Georgia" w:hAnsi="Georgia"/>
          <w:sz w:val="21"/>
          <w:szCs w:val="21"/>
        </w:rPr>
        <w:t>Skúšky Diela dopĺňajú súbor skúšok počas jednotlivých fáz realizácie Diela. Obsahujú hlavne (ale nie výlučne):</w:t>
      </w:r>
    </w:p>
    <w:p w14:paraId="68C083F5" w14:textId="60770AE6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Skúšky mechanických komponentov</w:t>
      </w:r>
    </w:p>
    <w:p w14:paraId="3C9339E7" w14:textId="6FFADB18" w:rsidR="00261B2A" w:rsidRPr="00261B2A" w:rsidRDefault="00261B2A" w:rsidP="00261B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Kontrola spaľovacieho motora: tesnosť, vibrácie, hlučnosť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77211BF8" w14:textId="05B40947" w:rsidR="00261B2A" w:rsidRPr="00261B2A" w:rsidRDefault="00261B2A" w:rsidP="00261B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Skúška generátora: správna funkcia, napäťové parametre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4C3AFD1E" w14:textId="66D4AF73" w:rsidR="00261B2A" w:rsidRPr="00261B2A" w:rsidRDefault="00261B2A" w:rsidP="00261B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Kontrola výmenník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ov</w:t>
      </w: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 tepla: účinnosť prenosu tepla, netesnosti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0E0D43D7" w14:textId="50EBD415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Elektrické skúšky</w:t>
      </w:r>
    </w:p>
    <w:p w14:paraId="2DF03DB6" w14:textId="479964DB" w:rsidR="00261B2A" w:rsidRPr="00261B2A" w:rsidRDefault="00261B2A" w:rsidP="00261B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Meranie výstupného napätia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, </w:t>
      </w: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frekvencie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 a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 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výkonu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747C4834" w14:textId="62BF047E" w:rsidR="00261B2A" w:rsidRPr="00261B2A" w:rsidRDefault="00261B2A" w:rsidP="00261B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Skúška ochranných prvkov (nadprúdová, prepäťová ochrana)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5EEAF1F8" w14:textId="551C34EE" w:rsidR="00261B2A" w:rsidRPr="00261B2A" w:rsidRDefault="00261B2A" w:rsidP="00261B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Synchronizácia s elektrickou sieťou (ak je relevantná)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76519354" w14:textId="02E5CC97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Skúšky tepelného výkonu</w:t>
      </w:r>
    </w:p>
    <w:p w14:paraId="328DEE5C" w14:textId="36278287" w:rsidR="00261B2A" w:rsidRPr="00261B2A" w:rsidRDefault="00261B2A" w:rsidP="00261B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Meranie tepelného výkonu pri rôznych záťažiach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38438A69" w14:textId="3F6D03FD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Skúšky bezpečnosti a</w:t>
      </w:r>
      <w:r w:rsidR="00CB7635">
        <w:rPr>
          <w:rFonts w:ascii="Georgia" w:hAnsi="Georgia"/>
          <w:b/>
          <w:bCs/>
          <w:sz w:val="21"/>
          <w:szCs w:val="21"/>
          <w:u w:val="single"/>
        </w:rPr>
        <w:t> </w:t>
      </w:r>
      <w:r w:rsidRPr="00261B2A">
        <w:rPr>
          <w:rFonts w:ascii="Georgia" w:hAnsi="Georgia"/>
          <w:b/>
          <w:bCs/>
          <w:sz w:val="21"/>
          <w:szCs w:val="21"/>
          <w:u w:val="single"/>
        </w:rPr>
        <w:t>environmentálne</w:t>
      </w:r>
      <w:r w:rsidR="00CB7635">
        <w:rPr>
          <w:rFonts w:ascii="Georgia" w:hAnsi="Georgia"/>
          <w:b/>
          <w:bCs/>
          <w:sz w:val="21"/>
          <w:szCs w:val="21"/>
          <w:u w:val="single"/>
        </w:rPr>
        <w:t xml:space="preserve"> skúšky</w:t>
      </w:r>
    </w:p>
    <w:p w14:paraId="1221A3C2" w14:textId="24C73662" w:rsidR="00261B2A" w:rsidRDefault="00261B2A" w:rsidP="00261B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Meranie emisií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6D077F4C" w14:textId="097E1011" w:rsidR="004B175B" w:rsidRPr="00261B2A" w:rsidRDefault="004B175B" w:rsidP="00261B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>
        <w:rPr>
          <w:rFonts w:ascii="Georgia" w:eastAsia="MS Mincho" w:hAnsi="Georgia" w:cs="Times New Roman"/>
          <w:kern w:val="20"/>
          <w:sz w:val="21"/>
          <w:szCs w:val="21"/>
        </w:rPr>
        <w:t>H</w:t>
      </w:r>
      <w:r w:rsidRPr="009F684A">
        <w:rPr>
          <w:rFonts w:ascii="Georgia" w:eastAsia="MS Mincho" w:hAnsi="Georgia" w:cs="Times New Roman"/>
          <w:kern w:val="20"/>
          <w:sz w:val="21"/>
          <w:szCs w:val="21"/>
        </w:rPr>
        <w:t xml:space="preserve">luk a vibrácie, t. j. vykonanie meraní preukazujúcich splnenie podmienok platnej </w:t>
      </w:r>
      <w:r>
        <w:rPr>
          <w:rFonts w:ascii="Georgia" w:eastAsia="MS Mincho" w:hAnsi="Georgia" w:cs="Times New Roman"/>
          <w:kern w:val="20"/>
          <w:sz w:val="21"/>
          <w:szCs w:val="21"/>
        </w:rPr>
        <w:t>právnej úpravy</w:t>
      </w:r>
      <w:r w:rsidRPr="009F684A">
        <w:rPr>
          <w:rFonts w:ascii="Georgia" w:eastAsia="MS Mincho" w:hAnsi="Georgia" w:cs="Times New Roman"/>
          <w:kern w:val="20"/>
          <w:sz w:val="21"/>
          <w:szCs w:val="21"/>
        </w:rPr>
        <w:t xml:space="preserve"> týkajúcej sa hluku a jeho vplyvu na okolie</w:t>
      </w:r>
      <w:r>
        <w:rPr>
          <w:rFonts w:ascii="Georgia" w:eastAsia="MS Mincho" w:hAnsi="Georgia" w:cs="Times New Roman"/>
          <w:kern w:val="20"/>
          <w:sz w:val="21"/>
          <w:szCs w:val="21"/>
        </w:rPr>
        <w:t>;</w:t>
      </w:r>
    </w:p>
    <w:p w14:paraId="2F93F323" w14:textId="443B1413" w:rsidR="00261B2A" w:rsidRPr="00261B2A" w:rsidRDefault="00261B2A" w:rsidP="00261B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Overenie funkcie havarijných systémov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59E35F41" w14:textId="297DE3B6" w:rsidR="00261B2A" w:rsidRPr="00261B2A" w:rsidRDefault="00261B2A" w:rsidP="00261B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Skúška hlásenia porúch a automatického odstavenia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02CA1CC7" w14:textId="2D975BB2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Skúšky riadiaceho systému</w:t>
      </w:r>
    </w:p>
    <w:p w14:paraId="1EBEC1CE" w14:textId="77777777" w:rsidR="00261B2A" w:rsidRPr="00261B2A" w:rsidRDefault="00261B2A" w:rsidP="00261B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Testovanie softvéru a automatizácie</w:t>
      </w:r>
    </w:p>
    <w:p w14:paraId="171DC891" w14:textId="77777777" w:rsidR="00261B2A" w:rsidRPr="00261B2A" w:rsidRDefault="00261B2A" w:rsidP="00261B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Simulácia porúch a reakcia systému</w:t>
      </w:r>
    </w:p>
    <w:p w14:paraId="6CA42D27" w14:textId="2D3434BB" w:rsidR="00261B2A" w:rsidRPr="00261B2A" w:rsidRDefault="00261B2A" w:rsidP="00261B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Overenie komunikácie s nadradeným systémom (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napr. </w:t>
      </w: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SCADA, BMS)</w:t>
      </w:r>
    </w:p>
    <w:p w14:paraId="71652022" w14:textId="031A7900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Skúšky prevádzkovej spoľahlivosti</w:t>
      </w:r>
    </w:p>
    <w:p w14:paraId="4F8EB901" w14:textId="6E44475C" w:rsidR="00261B2A" w:rsidRPr="00261B2A" w:rsidRDefault="00261B2A" w:rsidP="00261B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Skúšobná prevádzka </w:t>
      </w:r>
      <w:r w:rsidR="00CB7635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- </w:t>
      </w:r>
      <w:r w:rsidR="00CB7635">
        <w:rPr>
          <w:rFonts w:ascii="Georgia" w:eastAsia="MS Mincho" w:hAnsi="Georgia" w:cs="Times New Roman"/>
          <w:kern w:val="20"/>
          <w:sz w:val="21"/>
          <w:szCs w:val="21"/>
        </w:rPr>
        <w:t>v</w:t>
      </w:r>
      <w:r w:rsidR="00CB7635" w:rsidRPr="009F684A">
        <w:rPr>
          <w:rFonts w:ascii="Georgia" w:eastAsia="MS Mincho" w:hAnsi="Georgia" w:cs="Times New Roman"/>
          <w:kern w:val="20"/>
          <w:sz w:val="21"/>
          <w:szCs w:val="21"/>
        </w:rPr>
        <w:t xml:space="preserve">ykonanie </w:t>
      </w:r>
      <w:r w:rsidR="00CB7635" w:rsidRPr="00F644C1">
        <w:rPr>
          <w:rFonts w:ascii="Georgia" w:eastAsia="MS Mincho" w:hAnsi="Georgia" w:cs="Times New Roman"/>
          <w:kern w:val="20"/>
          <w:sz w:val="21"/>
          <w:szCs w:val="21"/>
        </w:rPr>
        <w:t>72</w:t>
      </w:r>
      <w:r w:rsidR="00CB7635" w:rsidRPr="009F684A">
        <w:rPr>
          <w:rFonts w:ascii="Georgia" w:eastAsia="MS Mincho" w:hAnsi="Georgia" w:cs="Times New Roman"/>
          <w:kern w:val="20"/>
          <w:sz w:val="21"/>
          <w:szCs w:val="21"/>
        </w:rPr>
        <w:t xml:space="preserve"> hodinovej </w:t>
      </w:r>
      <w:r w:rsidR="00E91F5B">
        <w:rPr>
          <w:rFonts w:ascii="Georgia" w:eastAsia="MS Mincho" w:hAnsi="Georgia" w:cs="Times New Roman"/>
          <w:kern w:val="20"/>
          <w:sz w:val="21"/>
          <w:szCs w:val="21"/>
        </w:rPr>
        <w:t>K</w:t>
      </w:r>
      <w:r w:rsidR="00CB7635" w:rsidRPr="009F684A">
        <w:rPr>
          <w:rFonts w:ascii="Georgia" w:eastAsia="MS Mincho" w:hAnsi="Georgia" w:cs="Times New Roman"/>
          <w:kern w:val="20"/>
          <w:sz w:val="21"/>
          <w:szCs w:val="21"/>
        </w:rPr>
        <w:t>omplexnej skúšky Diela v rámci trojdňovej stabilnej prevádzky</w:t>
      </w:r>
    </w:p>
    <w:p w14:paraId="315C308F" w14:textId="4ACAEC88" w:rsidR="00261B2A" w:rsidRPr="00261B2A" w:rsidRDefault="00261B2A" w:rsidP="00261B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Meranie spotreby paliva a porovnanie s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 </w:t>
      </w: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hodnotami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 uvádzanými výrobcom</w:t>
      </w:r>
    </w:p>
    <w:p w14:paraId="38BFA595" w14:textId="77777777" w:rsidR="00261B2A" w:rsidRPr="00261B2A" w:rsidRDefault="00261B2A" w:rsidP="00261B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Overenie funkčnosti pri rôznych režimoch (plný výkon, čiastočná záťaž)</w:t>
      </w:r>
    </w:p>
    <w:sectPr w:rsidR="00261B2A" w:rsidRPr="00261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92049"/>
    <w:multiLevelType w:val="multilevel"/>
    <w:tmpl w:val="9B42B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F5489C"/>
    <w:multiLevelType w:val="multilevel"/>
    <w:tmpl w:val="7C347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BC7AA6"/>
    <w:multiLevelType w:val="multilevel"/>
    <w:tmpl w:val="F736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861656"/>
    <w:multiLevelType w:val="multilevel"/>
    <w:tmpl w:val="4D8A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895C7C"/>
    <w:multiLevelType w:val="multilevel"/>
    <w:tmpl w:val="B4C80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89518F"/>
    <w:multiLevelType w:val="hybridMultilevel"/>
    <w:tmpl w:val="71B83174"/>
    <w:lvl w:ilvl="0" w:tplc="8CE477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87CC9"/>
    <w:multiLevelType w:val="multilevel"/>
    <w:tmpl w:val="1F92A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261552">
    <w:abstractNumId w:val="2"/>
  </w:num>
  <w:num w:numId="2" w16cid:durableId="2039501782">
    <w:abstractNumId w:val="6"/>
  </w:num>
  <w:num w:numId="3" w16cid:durableId="1526556134">
    <w:abstractNumId w:val="0"/>
  </w:num>
  <w:num w:numId="4" w16cid:durableId="1093936741">
    <w:abstractNumId w:val="4"/>
  </w:num>
  <w:num w:numId="5" w16cid:durableId="793912848">
    <w:abstractNumId w:val="1"/>
  </w:num>
  <w:num w:numId="6" w16cid:durableId="2046058769">
    <w:abstractNumId w:val="3"/>
  </w:num>
  <w:num w:numId="7" w16cid:durableId="478457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B2A"/>
    <w:rsid w:val="00081D03"/>
    <w:rsid w:val="00261B2A"/>
    <w:rsid w:val="004B175B"/>
    <w:rsid w:val="007845B1"/>
    <w:rsid w:val="00BA0E34"/>
    <w:rsid w:val="00CB7635"/>
    <w:rsid w:val="00E20BC0"/>
    <w:rsid w:val="00E9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592D"/>
  <w15:chartTrackingRefBased/>
  <w15:docId w15:val="{0659BC44-CA7B-42E2-A5A7-8E102FA1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261B2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rsid w:val="00261B2A"/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styleId="Vrazn">
    <w:name w:val="Strong"/>
    <w:basedOn w:val="Predvolenpsmoodseku"/>
    <w:uiPriority w:val="22"/>
    <w:qFormat/>
    <w:rsid w:val="00261B2A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26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261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halak</dc:creator>
  <cp:keywords/>
  <dc:description/>
  <cp:lastModifiedBy>Juraj Reptík</cp:lastModifiedBy>
  <cp:revision>3</cp:revision>
  <dcterms:created xsi:type="dcterms:W3CDTF">2025-10-10T11:03:00Z</dcterms:created>
  <dcterms:modified xsi:type="dcterms:W3CDTF">2025-11-11T14:06:00Z</dcterms:modified>
</cp:coreProperties>
</file>